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  <w:r w:rsidRPr="00DF13DE">
        <w:rPr>
          <w:rFonts w:ascii="Times New Roman" w:hAnsi="Times New Roman" w:cs="Times New Roman"/>
          <w:sz w:val="24"/>
          <w:szCs w:val="24"/>
        </w:rPr>
        <w:t>Ditado_0</w:t>
      </w:r>
      <w:r w:rsidR="006F174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F13DE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3DE">
        <w:rPr>
          <w:rFonts w:ascii="Times New Roman" w:hAnsi="Times New Roman" w:cs="Times New Roman"/>
          <w:sz w:val="24"/>
          <w:szCs w:val="24"/>
        </w:rPr>
        <w:t xml:space="preserve">Senhor Presidente, </w:t>
      </w:r>
      <w:r w:rsidR="00695D06">
        <w:rPr>
          <w:rFonts w:ascii="Times New Roman" w:hAnsi="Times New Roman" w:cs="Times New Roman"/>
          <w:sz w:val="24"/>
          <w:szCs w:val="24"/>
        </w:rPr>
        <w:t>observe que há afirmativa da fiscalização de que a sua interpretação deflui da Lei oito mil e duzentos e vinte e dois (folhas vinte [barra] vinte e um) da qual as Portarias Interministeriais não poderiam desbordar, embora ela não esteja impedida de fiscalizar o cumprimento de acordos e convenções coletivas.  Ora, se a interpretação decorre tão claramente da lei, por que a autuação se baseia em convenção coletiva e nas Portarias Ministeriais?  Ademais, como pode a DRT alegar violação, pela empresa, à Portaria duzentos e quarenta e um do Ministério da Fazenda, se o próprio Sindicato de Trabalhadores que integra a mencionada Convenção alega que tal Portaria possui redação equivocada (que corrobora o procedimento das empresas) e que tal equívoco, inclusive, foi objeto de solicitação e consultas junto à DRT que emitiu parecer em...</w:t>
      </w:r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271F4F"/>
    <w:rsid w:val="00424A96"/>
    <w:rsid w:val="005960E8"/>
    <w:rsid w:val="00695D06"/>
    <w:rsid w:val="006F1740"/>
    <w:rsid w:val="007107FF"/>
    <w:rsid w:val="008D3174"/>
    <w:rsid w:val="00B2358B"/>
    <w:rsid w:val="00D47D58"/>
    <w:rsid w:val="00D95C9D"/>
    <w:rsid w:val="00DF13DE"/>
    <w:rsid w:val="00EA7FC6"/>
    <w:rsid w:val="00EE74F4"/>
    <w:rsid w:val="00F11AAC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2012-06-11T11:09:00Z</dcterms:created>
  <dcterms:modified xsi:type="dcterms:W3CDTF">2012-06-11T11:14:00Z</dcterms:modified>
</cp:coreProperties>
</file>